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822" w:rsidRPr="005D5822" w:rsidRDefault="005D5822" w:rsidP="005D5822">
      <w:pPr>
        <w:pStyle w:val="Web"/>
        <w:spacing w:after="0" w:line="276" w:lineRule="auto"/>
        <w:rPr>
          <w:lang w:val="en-US"/>
        </w:rPr>
      </w:pPr>
      <w:r>
        <w:t>ΕΧΝΙΚΕΣ ΟΥΡΕΟΠΛΑΣΜΑ ΚΑΙ ΜΥΚΟΠΛΑΣΜΑ</w:t>
      </w:r>
    </w:p>
    <w:p w:rsidR="005D5822" w:rsidRDefault="005D5822" w:rsidP="005D5822">
      <w:pPr>
        <w:pStyle w:val="Web"/>
        <w:spacing w:before="0" w:beforeAutospacing="0" w:after="0"/>
      </w:pPr>
      <w:r>
        <w:t xml:space="preserve">Να προσφερθεί </w:t>
      </w:r>
      <w:proofErr w:type="spellStart"/>
      <w:r>
        <w:t>kit</w:t>
      </w:r>
      <w:proofErr w:type="spellEnd"/>
      <w:r>
        <w:t xml:space="preserve"> για ανίχνευση, ταυτοποίηση και έλεγχο ευαισθησίας σε αντιβιοτικά για </w:t>
      </w:r>
      <w:proofErr w:type="spellStart"/>
      <w:r>
        <w:t>Mycoplasma</w:t>
      </w:r>
      <w:proofErr w:type="spellEnd"/>
      <w:r>
        <w:t xml:space="preserve"> </w:t>
      </w:r>
      <w:proofErr w:type="spellStart"/>
      <w:r>
        <w:t>hominis</w:t>
      </w:r>
      <w:proofErr w:type="spellEnd"/>
      <w:r>
        <w:t xml:space="preserve">, </w:t>
      </w:r>
      <w:proofErr w:type="spellStart"/>
      <w:r>
        <w:t>Ureaplasma</w:t>
      </w:r>
      <w:proofErr w:type="spellEnd"/>
      <w:r>
        <w:t xml:space="preserve"> </w:t>
      </w:r>
      <w:proofErr w:type="spellStart"/>
      <w:r>
        <w:t>urealyticum</w:t>
      </w:r>
      <w:proofErr w:type="spellEnd"/>
      <w:r>
        <w:t xml:space="preserve"> και </w:t>
      </w:r>
      <w:proofErr w:type="spellStart"/>
      <w:r>
        <w:t>Ureaplasma</w:t>
      </w:r>
      <w:proofErr w:type="spellEnd"/>
      <w:r>
        <w:t xml:space="preserve"> </w:t>
      </w:r>
      <w:proofErr w:type="spellStart"/>
      <w:r>
        <w:t>parvum</w:t>
      </w:r>
      <w:proofErr w:type="spellEnd"/>
      <w:r>
        <w:t xml:space="preserve"> του γεννητικού συστήματος. Να βασίζεται στην πρότυπη μέθοδο ουρίας - </w:t>
      </w:r>
      <w:proofErr w:type="spellStart"/>
      <w:r>
        <w:t>αργινίνης</w:t>
      </w:r>
      <w:proofErr w:type="spellEnd"/>
      <w:r>
        <w:t xml:space="preserve"> και να συμπεριλαμβάνει </w:t>
      </w:r>
      <w:proofErr w:type="spellStart"/>
      <w:r>
        <w:t>control</w:t>
      </w:r>
      <w:proofErr w:type="spellEnd"/>
      <w:r>
        <w:t xml:space="preserve">. Η ταυτοποίηση του </w:t>
      </w:r>
      <w:proofErr w:type="spellStart"/>
      <w:r>
        <w:t>Μυκοπλάσματος</w:t>
      </w:r>
      <w:proofErr w:type="spellEnd"/>
      <w:r>
        <w:t xml:space="preserve"> να γίνεται με το αντιβιοτικό </w:t>
      </w:r>
      <w:proofErr w:type="spellStart"/>
      <w:r>
        <w:t>Erythromycin</w:t>
      </w:r>
      <w:proofErr w:type="spellEnd"/>
      <w:r>
        <w:t xml:space="preserve"> και του </w:t>
      </w:r>
      <w:proofErr w:type="spellStart"/>
      <w:r>
        <w:t>Ουρεοπλάσματος</w:t>
      </w:r>
      <w:proofErr w:type="spellEnd"/>
      <w:r>
        <w:t xml:space="preserve"> με το αντιβιοτικό </w:t>
      </w:r>
      <w:proofErr w:type="spellStart"/>
      <w:r>
        <w:t>Lincomycin</w:t>
      </w:r>
      <w:proofErr w:type="spellEnd"/>
      <w:r>
        <w:t xml:space="preserve">, ενώ παράλληλα να μπορεί να δώσει πληροφορίες </w:t>
      </w:r>
      <w:proofErr w:type="spellStart"/>
      <w:r>
        <w:t>τιτλοποίησης</w:t>
      </w:r>
      <w:proofErr w:type="spellEnd"/>
      <w:r>
        <w:t xml:space="preserve">. Να περιλαμβάνει τα αντιβιοτικά: </w:t>
      </w:r>
      <w:proofErr w:type="spellStart"/>
      <w:r>
        <w:t>Pristinomycin</w:t>
      </w:r>
      <w:proofErr w:type="spellEnd"/>
      <w:r>
        <w:t xml:space="preserve">, </w:t>
      </w:r>
      <w:proofErr w:type="spellStart"/>
      <w:r>
        <w:t>Ofloxacin</w:t>
      </w:r>
      <w:proofErr w:type="spellEnd"/>
      <w:r>
        <w:t xml:space="preserve">, </w:t>
      </w:r>
      <w:proofErr w:type="spellStart"/>
      <w:r>
        <w:t>Erythromycin</w:t>
      </w:r>
      <w:proofErr w:type="spellEnd"/>
      <w:r>
        <w:t xml:space="preserve">, </w:t>
      </w:r>
      <w:proofErr w:type="spellStart"/>
      <w:r>
        <w:t>Clindamycin</w:t>
      </w:r>
      <w:proofErr w:type="spellEnd"/>
      <w:r>
        <w:t xml:space="preserve">, </w:t>
      </w:r>
      <w:proofErr w:type="spellStart"/>
      <w:r>
        <w:t>Clarithromycin</w:t>
      </w:r>
      <w:proofErr w:type="spellEnd"/>
      <w:r>
        <w:t xml:space="preserve">, </w:t>
      </w:r>
      <w:proofErr w:type="spellStart"/>
      <w:r>
        <w:t>Josamycin</w:t>
      </w:r>
      <w:proofErr w:type="spellEnd"/>
      <w:r>
        <w:t xml:space="preserve">, </w:t>
      </w:r>
      <w:proofErr w:type="spellStart"/>
      <w:r>
        <w:t>Roxithromycin</w:t>
      </w:r>
      <w:proofErr w:type="spellEnd"/>
      <w:r>
        <w:t xml:space="preserve">, </w:t>
      </w:r>
      <w:proofErr w:type="spellStart"/>
      <w:r>
        <w:t>Minocycline</w:t>
      </w:r>
      <w:proofErr w:type="spellEnd"/>
      <w:r>
        <w:t xml:space="preserve">, </w:t>
      </w:r>
      <w:proofErr w:type="spellStart"/>
      <w:r>
        <w:t>Gatifloxacin</w:t>
      </w:r>
      <w:proofErr w:type="spellEnd"/>
      <w:r>
        <w:t xml:space="preserve"> σε 4 συγκεντρώσεις και τα </w:t>
      </w:r>
      <w:proofErr w:type="spellStart"/>
      <w:r>
        <w:t>Levofloxacin</w:t>
      </w:r>
      <w:proofErr w:type="spellEnd"/>
      <w:r>
        <w:t xml:space="preserve">, </w:t>
      </w:r>
      <w:proofErr w:type="spellStart"/>
      <w:r>
        <w:t>Tetracyclin</w:t>
      </w:r>
      <w:proofErr w:type="spellEnd"/>
      <w:r>
        <w:t xml:space="preserve"> σε 4 συγκεντρώσεις για την ανίχνευση του </w:t>
      </w:r>
      <w:proofErr w:type="spellStart"/>
      <w:r>
        <w:t>Μυκοπλάσματος</w:t>
      </w:r>
      <w:proofErr w:type="spellEnd"/>
      <w:r>
        <w:t xml:space="preserve"> Τα αποτελέσματα του αντιβιογράμματος να δίνονται σε SIR. . Να έχει IVD CE M</w:t>
      </w:r>
    </w:p>
    <w:p w:rsidR="005D5822" w:rsidRDefault="005D5822" w:rsidP="005D5822">
      <w:pPr>
        <w:pStyle w:val="Web"/>
        <w:spacing w:after="0"/>
      </w:pPr>
      <w:r>
        <w:t>ΓΕΝΝΗΤΡΙΕΣ</w:t>
      </w:r>
    </w:p>
    <w:p w:rsidR="005D5822" w:rsidRDefault="005D5822" w:rsidP="005D5822">
      <w:pPr>
        <w:pStyle w:val="Web"/>
        <w:spacing w:after="0"/>
      </w:pPr>
      <w:r>
        <w:t xml:space="preserve">Να προσφερθούν γεννήτριες (φάκελοι) αναερόβιων συνθηκών επώασης για χρήση σε μεμονωμένα σακουλάκια. Να είναι νέας γενεάς τεχνολογίας </w:t>
      </w:r>
      <w:proofErr w:type="spellStart"/>
      <w:r>
        <w:t>ασκορβικού</w:t>
      </w:r>
      <w:proofErr w:type="spellEnd"/>
      <w:r>
        <w:t xml:space="preserve"> οξέος που να αποδίδουν αναερόβιες συνθήκες εντός 20-30 λεπτών. Να μην απαιτείται προσθήκη καταλύτη και ενεργοποίηση των συνθηκών με νερό ή άλλο ειδικό υγρό. Να μην δημιουργούνται υδρατμοί (ασφάλεια προσωπικού και εύκολη παρατήρηση χωρίς το απαραίτητο άνοιγμα). Να προσφερθούν σε συσκευασία των 10 τεμαχίων. Να έχουν IVD CE </w:t>
      </w:r>
      <w:proofErr w:type="spellStart"/>
      <w:r>
        <w:t>Mark</w:t>
      </w:r>
      <w:proofErr w:type="spellEnd"/>
      <w:r>
        <w:t>.</w:t>
      </w:r>
    </w:p>
    <w:p w:rsidR="005D5822" w:rsidRDefault="005D5822" w:rsidP="005D5822">
      <w:pPr>
        <w:pStyle w:val="Web"/>
        <w:spacing w:after="0"/>
      </w:pPr>
      <w:r>
        <w:t>ΔΙΣΚΟΙ ΑΝΤΙΒΙΩΤΙΚΩΝ ΣΩΛΗΝΑΡΙΑ ΤΩΝ 4Χ50 ΔΙΣΚΩΝ ΤΕΜΑΧΙΑ 2</w:t>
      </w:r>
    </w:p>
    <w:p w:rsidR="005D5822" w:rsidRDefault="005D5822" w:rsidP="005D5822">
      <w:pPr>
        <w:pStyle w:val="Web"/>
        <w:spacing w:after="0"/>
      </w:pPr>
      <w:r>
        <w:t>ΘΡΕΠΤΙΚΟ ΥΛΙΚΟ</w:t>
      </w:r>
      <w:r>
        <w:rPr>
          <w:lang w:val="en-US"/>
        </w:rPr>
        <w:t>SS</w:t>
      </w:r>
      <w:r>
        <w:t xml:space="preserve"> </w:t>
      </w:r>
      <w:r>
        <w:rPr>
          <w:lang w:val="en-US"/>
        </w:rPr>
        <w:t>AGAR</w:t>
      </w:r>
      <w:r>
        <w:t xml:space="preserve"> </w:t>
      </w:r>
    </w:p>
    <w:p w:rsidR="005D5822" w:rsidRDefault="005D5822" w:rsidP="005D5822">
      <w:pPr>
        <w:pStyle w:val="Web"/>
        <w:spacing w:after="0"/>
      </w:pPr>
      <w:r>
        <w:t xml:space="preserve">Να προσφερθεί έτοιμο θρεπτικό υλικό σε ολόκληρο </w:t>
      </w:r>
      <w:proofErr w:type="spellStart"/>
      <w:r>
        <w:t>τρυβλίο</w:t>
      </w:r>
      <w:proofErr w:type="spellEnd"/>
      <w:r>
        <w:t xml:space="preserve"> 90mm για την ανάπτυξη απαιτητικών μικροοργανισμών και την δημιουργία διαυγούς </w:t>
      </w:r>
      <w:proofErr w:type="spellStart"/>
      <w:r>
        <w:t>αιμόλυσης</w:t>
      </w:r>
      <w:proofErr w:type="spellEnd"/>
      <w:r>
        <w:t xml:space="preserve">. Να έχει </w:t>
      </w:r>
      <w:proofErr w:type="spellStart"/>
      <w:r>
        <w:t>αιματούχα</w:t>
      </w:r>
      <w:proofErr w:type="spellEnd"/>
      <w:r>
        <w:t xml:space="preserve"> βάση </w:t>
      </w:r>
      <w:proofErr w:type="spellStart"/>
      <w:r>
        <w:t>Columbia</w:t>
      </w:r>
      <w:proofErr w:type="spellEnd"/>
      <w:r>
        <w:t xml:space="preserve"> και να περιέχει 5% </w:t>
      </w:r>
      <w:proofErr w:type="spellStart"/>
      <w:r>
        <w:t>απινιδωμένο</w:t>
      </w:r>
      <w:proofErr w:type="spellEnd"/>
      <w:r>
        <w:t xml:space="preserve"> αίμα προβάτου,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peptone</w:t>
      </w:r>
      <w:proofErr w:type="spellEnd"/>
      <w:r>
        <w:t xml:space="preserve"> 23g/L, </w:t>
      </w:r>
      <w:proofErr w:type="spellStart"/>
      <w:r>
        <w:t>starch</w:t>
      </w:r>
      <w:proofErr w:type="spellEnd"/>
      <w:r>
        <w:t xml:space="preserve"> 1g/L, </w:t>
      </w:r>
      <w:proofErr w:type="spellStart"/>
      <w:r>
        <w:t>sodium</w:t>
      </w:r>
      <w:proofErr w:type="spellEnd"/>
      <w:r>
        <w:t xml:space="preserve"> </w:t>
      </w:r>
      <w:proofErr w:type="spellStart"/>
      <w:r>
        <w:t>chloride</w:t>
      </w:r>
      <w:proofErr w:type="spellEnd"/>
      <w:r>
        <w:t xml:space="preserve"> 5g/L και </w:t>
      </w:r>
      <w:proofErr w:type="spellStart"/>
      <w:r>
        <w:t>agar</w:t>
      </w:r>
      <w:proofErr w:type="spellEnd"/>
      <w:r>
        <w:t xml:space="preserve"> 10g/L. Να προσφερθεί σε συσκευασία όχι μεγαλύτερη των 10 </w:t>
      </w:r>
      <w:proofErr w:type="spellStart"/>
      <w:r>
        <w:t>τρυβλίων</w:t>
      </w:r>
      <w:proofErr w:type="spellEnd"/>
      <w:r>
        <w:t xml:space="preserve">. Να φυλάσσεται στους 2-12°C. Να έχει IVD CE </w:t>
      </w:r>
      <w:proofErr w:type="spellStart"/>
      <w:r>
        <w:t>Mark</w:t>
      </w:r>
      <w:proofErr w:type="spellEnd"/>
      <w:r>
        <w:t>.</w:t>
      </w:r>
    </w:p>
    <w:p w:rsidR="005D5822" w:rsidRDefault="005D5822" w:rsidP="005D5822">
      <w:pPr>
        <w:pStyle w:val="Web"/>
        <w:spacing w:after="0"/>
      </w:pPr>
      <w:r>
        <w:rPr>
          <w:lang w:val="en-US"/>
        </w:rPr>
        <w:t>KIT</w:t>
      </w:r>
      <w:r>
        <w:t xml:space="preserve"> </w:t>
      </w:r>
      <w:r>
        <w:rPr>
          <w:lang w:val="en-US"/>
        </w:rPr>
        <w:t>GRAM</w:t>
      </w:r>
      <w:r>
        <w:t xml:space="preserve"> 240</w:t>
      </w:r>
      <w:r>
        <w:rPr>
          <w:lang w:val="en-US"/>
        </w:rPr>
        <w:t>MLX</w:t>
      </w:r>
      <w:r>
        <w:t>4</w:t>
      </w:r>
    </w:p>
    <w:p w:rsidR="005D5822" w:rsidRDefault="005D5822" w:rsidP="005D5822">
      <w:pPr>
        <w:pStyle w:val="Web"/>
        <w:spacing w:after="0"/>
      </w:pPr>
      <w:r>
        <w:t xml:space="preserve">Να προσφερθεί πλήρες </w:t>
      </w:r>
      <w:proofErr w:type="spellStart"/>
      <w:r>
        <w:t>κιτ</w:t>
      </w:r>
      <w:proofErr w:type="spellEnd"/>
      <w:r>
        <w:t xml:space="preserve"> γρήγορης χρώσης κατά </w:t>
      </w:r>
      <w:r>
        <w:rPr>
          <w:lang w:val="en-US"/>
        </w:rPr>
        <w:t>Gram</w:t>
      </w:r>
      <w:r>
        <w:t xml:space="preserve"> τύπου </w:t>
      </w:r>
      <w:r>
        <w:rPr>
          <w:lang w:val="en-US"/>
        </w:rPr>
        <w:t>H</w:t>
      </w:r>
      <w:r>
        <w:t>ϋ</w:t>
      </w:r>
      <w:proofErr w:type="spellStart"/>
      <w:r>
        <w:rPr>
          <w:lang w:val="en-US"/>
        </w:rPr>
        <w:t>cker</w:t>
      </w:r>
      <w:proofErr w:type="spellEnd"/>
      <w:r>
        <w:t xml:space="preserve">. Να αποτελείται από τα αντιδραστήρια </w:t>
      </w:r>
      <w:r>
        <w:rPr>
          <w:lang w:val="en-US"/>
        </w:rPr>
        <w:t>Crystal</w:t>
      </w:r>
      <w:r>
        <w:t xml:space="preserve"> </w:t>
      </w:r>
      <w:r>
        <w:rPr>
          <w:lang w:val="en-US"/>
        </w:rPr>
        <w:t>Violet</w:t>
      </w:r>
      <w:r>
        <w:t xml:space="preserve"> </w:t>
      </w:r>
      <w:r>
        <w:rPr>
          <w:lang w:val="en-US"/>
        </w:rPr>
        <w:t>Oxalate</w:t>
      </w:r>
      <w:r>
        <w:t xml:space="preserve"> (5% </w:t>
      </w:r>
      <w:r>
        <w:rPr>
          <w:lang w:val="en-US"/>
        </w:rPr>
        <w:t>Crystal</w:t>
      </w:r>
      <w:r>
        <w:t xml:space="preserve"> </w:t>
      </w:r>
      <w:r>
        <w:rPr>
          <w:lang w:val="en-US"/>
        </w:rPr>
        <w:t>violet</w:t>
      </w:r>
      <w:r>
        <w:t xml:space="preserve">), </w:t>
      </w:r>
      <w:r>
        <w:rPr>
          <w:lang w:val="en-US"/>
        </w:rPr>
        <w:t>PVP</w:t>
      </w:r>
      <w:r>
        <w:t xml:space="preserve"> </w:t>
      </w:r>
      <w:r>
        <w:rPr>
          <w:lang w:val="en-US"/>
        </w:rPr>
        <w:t>stabilized</w:t>
      </w:r>
      <w:r>
        <w:t xml:space="preserve"> </w:t>
      </w:r>
      <w:proofErr w:type="spellStart"/>
      <w:r>
        <w:rPr>
          <w:lang w:val="en-US"/>
        </w:rPr>
        <w:t>Lugol</w:t>
      </w:r>
      <w:proofErr w:type="spellEnd"/>
      <w:r>
        <w:t xml:space="preserve"> (</w:t>
      </w:r>
      <w:r>
        <w:rPr>
          <w:lang w:val="en-US"/>
        </w:rPr>
        <w:t>iodine</w:t>
      </w:r>
      <w:r>
        <w:t xml:space="preserve"> 1%), </w:t>
      </w:r>
      <w:proofErr w:type="spellStart"/>
      <w:r>
        <w:t>Αποχρωματιστικό</w:t>
      </w:r>
      <w:proofErr w:type="spellEnd"/>
      <w:r>
        <w:t xml:space="preserve"> γρήγορης δράσης (</w:t>
      </w:r>
      <w:r>
        <w:rPr>
          <w:lang w:val="en-US"/>
        </w:rPr>
        <w:t>alcohol</w:t>
      </w:r>
      <w:r>
        <w:t xml:space="preserve"> 50% / </w:t>
      </w:r>
      <w:r>
        <w:rPr>
          <w:lang w:val="en-US"/>
        </w:rPr>
        <w:t>acetone</w:t>
      </w:r>
      <w:r>
        <w:t xml:space="preserve"> 40-50%) και </w:t>
      </w:r>
      <w:proofErr w:type="spellStart"/>
      <w:r>
        <w:rPr>
          <w:lang w:val="en-US"/>
        </w:rPr>
        <w:t>Safranine</w:t>
      </w:r>
      <w:proofErr w:type="spellEnd"/>
      <w:r>
        <w:t>. Να είναι έτοιμα προς χρήση, σταθεροποιημένα, να μην απαιτείται φιλτράρισμα πριν την χρήση τους και να είναι σε πλαστικά φιαλίδια των 240</w:t>
      </w:r>
      <w:r>
        <w:rPr>
          <w:lang w:val="en-US"/>
        </w:rPr>
        <w:t>ml</w:t>
      </w:r>
      <w:r>
        <w:t xml:space="preserve"> με δικό τους σταγονομετρικό στόμιο. Η χρώση να μπορεί να πραγματοποιηθεί εντός 2,5-3 λεπτών. Η συσκευασία να μπορεί να χρησιμοποιηθεί ως </w:t>
      </w:r>
      <w:proofErr w:type="spellStart"/>
      <w:r>
        <w:t>στατό</w:t>
      </w:r>
      <w:proofErr w:type="spellEnd"/>
      <w:r>
        <w:t xml:space="preserve"> εύκολης πρόσβασης στα φιαλίδια. Όλα τα αντιδραστήρια που αποτελούν το </w:t>
      </w:r>
      <w:proofErr w:type="spellStart"/>
      <w:r>
        <w:t>κιτ</w:t>
      </w:r>
      <w:proofErr w:type="spellEnd"/>
      <w:r>
        <w:t xml:space="preserve"> να υπάρχουν και μεμονωμένα. Σε περίπτωση που το προϊόν δεν έχει </w:t>
      </w:r>
      <w:proofErr w:type="spellStart"/>
      <w:r>
        <w:t>χρησμοποιηθεί</w:t>
      </w:r>
      <w:proofErr w:type="spellEnd"/>
      <w:r>
        <w:t xml:space="preserve"> ξανά από το εργαστήριο να σταλεί </w:t>
      </w:r>
      <w:proofErr w:type="spellStart"/>
      <w:r>
        <w:t>υποχρετικά</w:t>
      </w:r>
      <w:proofErr w:type="spellEnd"/>
      <w:r>
        <w:t xml:space="preserve"> δείγμα προς αξιολόγηση. Να έχει </w:t>
      </w:r>
      <w:r>
        <w:rPr>
          <w:lang w:val="en-US"/>
        </w:rPr>
        <w:t>IVD</w:t>
      </w:r>
      <w:r>
        <w:t xml:space="preserve"> </w:t>
      </w:r>
      <w:r>
        <w:rPr>
          <w:lang w:val="en-US"/>
        </w:rPr>
        <w:t>CE</w:t>
      </w:r>
      <w:r>
        <w:t xml:space="preserve"> </w:t>
      </w:r>
      <w:r>
        <w:rPr>
          <w:lang w:val="en-US"/>
        </w:rPr>
        <w:t>Mark</w:t>
      </w:r>
      <w:r>
        <w:t>.</w:t>
      </w:r>
    </w:p>
    <w:p w:rsidR="005D5822" w:rsidRDefault="005D5822" w:rsidP="005D5822">
      <w:pPr>
        <w:pStyle w:val="Web"/>
        <w:spacing w:after="0"/>
      </w:pPr>
      <w:r>
        <w:rPr>
          <w:lang w:val="en-US"/>
        </w:rPr>
        <w:t>COMPACT</w:t>
      </w:r>
      <w:r>
        <w:t xml:space="preserve"> </w:t>
      </w:r>
      <w:r>
        <w:rPr>
          <w:lang w:val="en-US"/>
        </w:rPr>
        <w:t>PLASTIC</w:t>
      </w:r>
      <w:r>
        <w:t xml:space="preserve"> </w:t>
      </w:r>
      <w:r>
        <w:rPr>
          <w:lang w:val="en-US"/>
        </w:rPr>
        <w:t>POUEHES</w:t>
      </w:r>
    </w:p>
    <w:p w:rsidR="005D5822" w:rsidRDefault="005D5822" w:rsidP="005D5822">
      <w:pPr>
        <w:pStyle w:val="Web"/>
        <w:spacing w:after="0"/>
      </w:pPr>
      <w:r>
        <w:lastRenderedPageBreak/>
        <w:t xml:space="preserve">Να προσφερθούν πλαστικά σακουλάκια για την δημιουργία ελεγχόμενων συνθηκών καλλιέργειας (αναερόβιες, CO2 ή </w:t>
      </w:r>
      <w:proofErr w:type="spellStart"/>
      <w:r>
        <w:t>μικροαερόφιλες</w:t>
      </w:r>
      <w:proofErr w:type="spellEnd"/>
      <w:r>
        <w:t xml:space="preserve">). Να είναι απολύτως διαφανή από εξαιρετικής ποιότητας πλαστικό χωρίς σχέδια ή γράμματα. Να δέχονται έως 5 </w:t>
      </w:r>
      <w:proofErr w:type="spellStart"/>
      <w:r>
        <w:t>τρυβλία</w:t>
      </w:r>
      <w:proofErr w:type="spellEnd"/>
      <w:r>
        <w:t xml:space="preserve"> (των 90mm ή μικρότερα) ή έως 2 </w:t>
      </w:r>
      <w:proofErr w:type="spellStart"/>
      <w:r>
        <w:t>ταυτοποιητικά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των 20 ιδιοτήτων. Να κλείνουν ερμητικά με </w:t>
      </w:r>
      <w:proofErr w:type="spellStart"/>
      <w:r>
        <w:t>sealing</w:t>
      </w:r>
      <w:proofErr w:type="spellEnd"/>
      <w:r>
        <w:t xml:space="preserve"> </w:t>
      </w:r>
      <w:proofErr w:type="spellStart"/>
      <w:r>
        <w:t>clips</w:t>
      </w:r>
      <w:proofErr w:type="spellEnd"/>
      <w:r>
        <w:t xml:space="preserve">, </w:t>
      </w:r>
      <w:proofErr w:type="spellStart"/>
      <w:r>
        <w:t>προοκειμένου</w:t>
      </w:r>
      <w:proofErr w:type="spellEnd"/>
      <w:r>
        <w:t xml:space="preserve"> να μην υπάρχει πιθανότητα ανοικτών </w:t>
      </w:r>
      <w:proofErr w:type="spellStart"/>
      <w:r>
        <w:t>μικροοπών</w:t>
      </w:r>
      <w:proofErr w:type="spellEnd"/>
      <w:r>
        <w:t xml:space="preserve"> και για να υπάρχει η ευχέρεια να κλείνουν όπου απαιτείται </w:t>
      </w:r>
      <w:proofErr w:type="spellStart"/>
      <w:r>
        <w:t>απο</w:t>
      </w:r>
      <w:proofErr w:type="spellEnd"/>
      <w:r>
        <w:t xml:space="preserve"> τον χρήστη χωρίς περιορισμούς. Να προσφερθούν σε συσκευασία των 20 τεμαχίων. Να έχουν IVD CE </w:t>
      </w:r>
      <w:proofErr w:type="spellStart"/>
      <w:r>
        <w:t>Mark</w:t>
      </w:r>
      <w:proofErr w:type="spellEnd"/>
      <w:r>
        <w:t>.</w:t>
      </w:r>
    </w:p>
    <w:p w:rsidR="005D5822" w:rsidRPr="005D5822" w:rsidRDefault="005D5822" w:rsidP="005D5822">
      <w:pPr>
        <w:pStyle w:val="Web"/>
        <w:spacing w:after="0"/>
      </w:pPr>
      <w:r>
        <w:rPr>
          <w:lang w:val="en-US"/>
        </w:rPr>
        <w:t>CHROMAGAR</w:t>
      </w:r>
      <w:r w:rsidRPr="005D5822">
        <w:t xml:space="preserve"> </w:t>
      </w:r>
      <w:r>
        <w:rPr>
          <w:lang w:val="en-US"/>
        </w:rPr>
        <w:t>SALMO</w:t>
      </w:r>
    </w:p>
    <w:p w:rsidR="005D5822" w:rsidRDefault="005D5822" w:rsidP="005D5822">
      <w:pPr>
        <w:pStyle w:val="Web"/>
        <w:spacing w:after="0"/>
      </w:pPr>
      <w:r>
        <w:t xml:space="preserve">Να προσφερθεί έτοιμο θρεπτικό υλικό σε ολόκληρο </w:t>
      </w:r>
      <w:proofErr w:type="spellStart"/>
      <w:r>
        <w:t>τρυβλίο</w:t>
      </w:r>
      <w:proofErr w:type="spellEnd"/>
      <w:r>
        <w:t xml:space="preserve"> 90mm με χρωμογόνο υπόστρωμα για την αρχική ταυτοποίηση στελεχών </w:t>
      </w:r>
      <w:proofErr w:type="spellStart"/>
      <w:r>
        <w:t>Salmonella</w:t>
      </w:r>
      <w:proofErr w:type="spellEnd"/>
      <w:r>
        <w:t xml:space="preserve"> με μωβ/ροζ χρώμα. Να περιέχει ειδικό μείγμα ανάπτυξης </w:t>
      </w:r>
      <w:proofErr w:type="spellStart"/>
      <w:r>
        <w:t>σαλμονελλών</w:t>
      </w:r>
      <w:proofErr w:type="spellEnd"/>
      <w:r>
        <w:t xml:space="preserve"> 14g/L, μείγμα χρωμογόνων 25g/L, </w:t>
      </w:r>
      <w:proofErr w:type="spellStart"/>
      <w:r>
        <w:t>cefsulodin</w:t>
      </w:r>
      <w:proofErr w:type="spellEnd"/>
      <w:r>
        <w:t xml:space="preserve"> 0,012g/L, </w:t>
      </w:r>
      <w:proofErr w:type="spellStart"/>
      <w:r>
        <w:t>novobiocin</w:t>
      </w:r>
      <w:proofErr w:type="spellEnd"/>
      <w:r>
        <w:t xml:space="preserve"> 0,005g/L και </w:t>
      </w:r>
      <w:proofErr w:type="spellStart"/>
      <w:r>
        <w:t>agar</w:t>
      </w:r>
      <w:proofErr w:type="spellEnd"/>
      <w:r>
        <w:t xml:space="preserve"> 15g/L. Να προσφερθεί σε συσκευασία όχι μεγαλύτερη των 10 </w:t>
      </w:r>
      <w:proofErr w:type="spellStart"/>
      <w:r>
        <w:t>τρυβλίων</w:t>
      </w:r>
      <w:proofErr w:type="spellEnd"/>
      <w:r>
        <w:t xml:space="preserve">. Να φυλάσσεται στους 2-12°C. Να έχει IVD CE </w:t>
      </w:r>
      <w:proofErr w:type="spellStart"/>
      <w:r>
        <w:t>Mark</w:t>
      </w:r>
      <w:proofErr w:type="spellEnd"/>
      <w:r>
        <w:t>.</w:t>
      </w:r>
    </w:p>
    <w:sectPr w:rsidR="005D5822" w:rsidSect="00461E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D5822"/>
    <w:rsid w:val="00461E36"/>
    <w:rsid w:val="005D5822"/>
    <w:rsid w:val="00EC3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D582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3024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2026-09-28T11:38:00Z</dcterms:created>
  <dcterms:modified xsi:type="dcterms:W3CDTF">2026-09-28T11:40:00Z</dcterms:modified>
</cp:coreProperties>
</file>