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Η Επιτροπή σύνταξης προδιαγραφών έλαβε υπόψη: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άρθρο 54 του Π.Δ. 4412/8-8-2016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ΕΝ 455-1:2000 σχετικά με τις απαιτήσεις και τον έλεγχο για την ανίχνευση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των οπών των ιατρικών γαντιών μιας χρήσης.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ΕΝ 455-2:2009+Α2:2013 που ορίζει το υλικό κατασκευής ανά τύπο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γαντιού, τις απαιτήσεις και τις μεθόδους έλεγχου των φυσικών ιδιοτήτων των ιατρικών γαντιών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μιας χρήσης 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ΕΛΟΤ ΕΝ 455-3:2006 που ορίζει τις απαιτήσεις για την αξιολόγηση της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βιολογικής ασφάλειας των ιατρικών γαντιών μιας χρήσης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Το Ευρωπαϊκό πρότυπο ΕΛΟΤ ΕΝ: 455-4:2009 που ορίζει τις απαιτήσεις και δοκιμές για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προσδόκιμο χρόνου ζωής των ιατρικών γαντιών μιας χρήσης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ΕΝ 374-1:2003 που ορίζει τον έλεγχο ως προς τους χημικούς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παράγοντες, μικροοργανισμούς και το χρόνο διείσδυσης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ΕΝ 374-2:2003 που προσδιορίζει την αντίσταση στη διείσδυση χημικών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ουσιών και μικροοργανισμών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EN 374-3:2003 που προσδιορίζει την αντίσταση στη διαπερατότητα από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χημικές ουσίες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EN 374-4:2003 που προσδιορίζει την αντοχή σε υποβάθμιση από χημικά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ΕΝ 420:2003 +Α1:2009 που ορίζει γενικές προδιαγραφές ως προς την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κατασκευή, καταλληλότητα χρήσης, ασφάλεια και εφαρμογή γαντιών προστασίας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Ευρωπαϊκό πρότυπο ΕΝ 421:2010 που ορίζει τις ειδικές προδιαγραφές για γάντια προστασίας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από την </w:t>
      </w:r>
      <w:proofErr w:type="spellStart"/>
      <w:r>
        <w:rPr>
          <w:rFonts w:ascii="TimesNewRomanPSMT" w:hAnsi="TimesNewRomanPSMT" w:cs="TimesNewRomanPSMT"/>
        </w:rPr>
        <w:t>ιονίζουσα</w:t>
      </w:r>
      <w:proofErr w:type="spellEnd"/>
      <w:r>
        <w:rPr>
          <w:rFonts w:ascii="TimesNewRomanPSMT" w:hAnsi="TimesNewRomanPSMT" w:cs="TimesNewRomanPSMT"/>
        </w:rPr>
        <w:t xml:space="preserve"> ακτινοβολία και ραδιενεργό μόλυνση.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 xml:space="preserve">Το Ευρωπαϊκό πρότυπο ΕΝ </w:t>
      </w:r>
      <w:proofErr w:type="gramStart"/>
      <w:r>
        <w:rPr>
          <w:rFonts w:ascii="TimesNewRomanPSMT" w:hAnsi="TimesNewRomanPSMT" w:cs="TimesNewRomanPSMT"/>
        </w:rPr>
        <w:t>388 :</w:t>
      </w:r>
      <w:proofErr w:type="gramEnd"/>
      <w:r>
        <w:rPr>
          <w:rFonts w:ascii="TimesNewRomanPSMT" w:hAnsi="TimesNewRomanPSMT" w:cs="TimesNewRomanPSMT"/>
        </w:rPr>
        <w:t>2003 για γάντια προστασίας έναντι μηχανικών κινδύνων.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 ISO 15223:2016 πρότυπο που ορίζει τα σύμβολα που πρέπει να χρησιμοποιούνται με τις ετικέτες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και την επισήμανση και τις πληροφορίες που πρέπει να παρέχονται για τα προϊόντα για ιατρική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χρήση.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 xml:space="preserve">Φ.Ε.Κ. 4234/04.12.2017 «Ορισμός Αρμόδιας Αρχής για τα </w:t>
      </w:r>
      <w:proofErr w:type="spellStart"/>
      <w:r>
        <w:rPr>
          <w:rFonts w:ascii="TimesNewRomanPSMT" w:hAnsi="TimesNewRomanPSMT" w:cs="TimesNewRomanPSMT"/>
        </w:rPr>
        <w:t>Ιατροτεχνολογικά</w:t>
      </w:r>
      <w:proofErr w:type="spellEnd"/>
      <w:r>
        <w:rPr>
          <w:rFonts w:ascii="TimesNewRomanPSMT" w:hAnsi="TimesNewRomanPSMT" w:cs="TimesNewRomanPSMT"/>
        </w:rPr>
        <w:t xml:space="preserve"> Προϊόντα και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Αρμόδιας Αρχής για τους Κοινοποιημένους Οργανισμούς για την εφαρμογή των άρθρων 35 και 101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του Κανονισμού 745/2017 και των άρθρων 31 και 96 του Κανονισμού 746/2017 του Ευρωπαϊκού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Κοινοβουλίου και του Συμβουλίου.»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lastRenderedPageBreak/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 xml:space="preserve">Την Οδηγία 93/42/ΕΟΚ για τα </w:t>
      </w:r>
      <w:proofErr w:type="spellStart"/>
      <w:r>
        <w:rPr>
          <w:rFonts w:ascii="TimesNewRomanPSMT" w:hAnsi="TimesNewRomanPSMT" w:cs="TimesNewRomanPSMT"/>
        </w:rPr>
        <w:t>ιατροτεχνολογικά</w:t>
      </w:r>
      <w:proofErr w:type="spellEnd"/>
      <w:r>
        <w:rPr>
          <w:rFonts w:ascii="TimesNewRomanPSMT" w:hAnsi="TimesNewRomanPSMT" w:cs="TimesNewRomanPSMT"/>
        </w:rPr>
        <w:t xml:space="preserve"> προϊόντα όπως έχει τροποποιηθεί και ισχύει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σήμερα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 xml:space="preserve">Φ.Ε.Κ. 2198/ 2 Οκτ 2009, </w:t>
      </w:r>
      <w:proofErr w:type="spellStart"/>
      <w:r>
        <w:rPr>
          <w:rFonts w:ascii="TimesNewRomanPSMT" w:hAnsi="TimesNewRomanPSMT" w:cs="TimesNewRomanPSMT"/>
        </w:rPr>
        <w:t>Αριθμ</w:t>
      </w:r>
      <w:proofErr w:type="spellEnd"/>
      <w:r>
        <w:rPr>
          <w:rFonts w:ascii="TimesNewRomanPSMT" w:hAnsi="TimesNewRomanPSMT" w:cs="TimesNewRomanPSMT"/>
        </w:rPr>
        <w:t>. ΔΥ8δ/Γ.Π.οικ.130648 Εναρμόνιση της εθνικής νομοθεσίας προς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τις διατάξεις της Οδηγίας 93/42/ΕΟΚ «περί </w:t>
      </w:r>
      <w:proofErr w:type="spellStart"/>
      <w:r>
        <w:rPr>
          <w:rFonts w:ascii="TimesNewRomanPSMT" w:hAnsi="TimesNewRomanPSMT" w:cs="TimesNewRomanPSMT"/>
        </w:rPr>
        <w:t>ιατροτεχνολογικών</w:t>
      </w:r>
      <w:proofErr w:type="spellEnd"/>
      <w:r>
        <w:rPr>
          <w:rFonts w:ascii="TimesNewRomanPSMT" w:hAnsi="TimesNewRomanPSMT" w:cs="TimesNewRomanPSMT"/>
        </w:rPr>
        <w:t xml:space="preserve"> προϊόντων».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</w:rPr>
        <w:t>Τον Κανονισμό (ΕΕ) 2016/425 του Ευρωπαϊκού Κοινοβουλίου και του Συμβουλίου της 9ης Μαρτίου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2016 για τα μέσα ατομικής προστασίας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</w:rPr>
        <w:t></w:t>
      </w:r>
      <w:r>
        <w:rPr>
          <w:rFonts w:ascii="Wingdings-Regular" w:eastAsia="Wingdings-Regular" w:hAnsi="TimesNewRomanPS-BoldMT" w:cs="Wingdings-Regular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Τον κανονισμό (ΕΕ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)1025</w:t>
      </w:r>
      <w:proofErr w:type="gramEnd"/>
      <w:r>
        <w:rPr>
          <w:rFonts w:ascii="TimesNewRomanPSMT" w:hAnsi="TimesNewRomanPSMT" w:cs="TimesNewRomanPSMT"/>
          <w:sz w:val="24"/>
          <w:szCs w:val="24"/>
        </w:rPr>
        <w:t>/2012 του Ευρωπαϊκού Κοινοβουλίου και του Συμβουλίου της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25ης Οκτωβρίου 2012 σχετικά με την ευρωπαϊκή τυποποίηση, την τροποποίηση των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οδηγιών του Συμβουλίου 89/686/ΕΟΚ και 93/15/ΕΟΚ και των οδηγιών του Ευρωπαϊκού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Κοινοβουλίου και του Συμβουλίου 94/9/ΕΚ, 94/25/ΕΚ, 95/16/ΕΚ, 97/23/ΕΚ, 98/34/ΕΚ,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2004/22/ΕΚ, 2007/23/ΕΚ, 2009/23/ΕΚ και 2009/105/ΕΚ και την κατάργηση της απόφασης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87/95/ΕΟΚ του Συμβουλίου και της απόφασης αριθ. 1673/2006/ΕΚ του Ευρωπαϊκού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Κοινοβουλίου και του Συμβουλίου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MT" w:cs="Wingdings-Regular" w:hint="eastAsia"/>
        </w:rPr>
        <w:t></w:t>
      </w:r>
      <w:r>
        <w:rPr>
          <w:rFonts w:ascii="Wingdings-Regular" w:eastAsia="Wingdings-Regular" w:hAnsi="TimesNewRomanPSMT" w:cs="Wingdings-Regular"/>
        </w:rPr>
        <w:t xml:space="preserve"> </w:t>
      </w:r>
      <w:r>
        <w:rPr>
          <w:rFonts w:ascii="TimesNewRomanPSMT" w:hAnsi="TimesNewRomanPSMT" w:cs="TimesNewRomanPSMT"/>
        </w:rPr>
        <w:t>Τον Κανονισμό (ΕΕ) 2007/47/EC για την εναρμόνιση της νομοθεσίας των κρατών μελών σχετικά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με τα ενεργά </w:t>
      </w:r>
      <w:proofErr w:type="spellStart"/>
      <w:r>
        <w:rPr>
          <w:rFonts w:ascii="TimesNewRomanPSMT" w:hAnsi="TimesNewRomanPSMT" w:cs="TimesNewRomanPSMT"/>
        </w:rPr>
        <w:t>εμφυτεύσιμα</w:t>
      </w:r>
      <w:proofErr w:type="spellEnd"/>
      <w:r>
        <w:rPr>
          <w:rFonts w:ascii="TimesNewRomanPSMT" w:hAnsi="TimesNewRomanPSMT" w:cs="TimesNewRomanPSMT"/>
        </w:rPr>
        <w:t xml:space="preserve"> ιατρικά βοηθήματα, της οδηγίας 93/42/ΕΟΚ του Συμβουλίου για τα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ιατροτεχνολογικά</w:t>
      </w:r>
      <w:proofErr w:type="spellEnd"/>
      <w:r>
        <w:rPr>
          <w:rFonts w:ascii="TimesNewRomanPSMT" w:hAnsi="TimesNewRomanPSMT" w:cs="TimesNewRomanPSMT"/>
        </w:rPr>
        <w:t xml:space="preserve"> προϊόντα και της οδηγίας 98/8/ΕΚ για τη διάθεση </w:t>
      </w:r>
      <w:proofErr w:type="spellStart"/>
      <w:r>
        <w:rPr>
          <w:rFonts w:ascii="TimesNewRomanPSMT" w:hAnsi="TimesNewRomanPSMT" w:cs="TimesNewRomanPSMT"/>
        </w:rPr>
        <w:t>βιοκτόνων</w:t>
      </w:r>
      <w:proofErr w:type="spellEnd"/>
      <w:r>
        <w:rPr>
          <w:rFonts w:ascii="TimesNewRomanPSMT" w:hAnsi="TimesNewRomanPSMT" w:cs="TimesNewRomanPSMT"/>
        </w:rPr>
        <w:t xml:space="preserve"> στην αγορά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MT" w:cs="Wingdings-Regular" w:hint="eastAsia"/>
        </w:rPr>
        <w:t></w:t>
      </w:r>
      <w:r>
        <w:rPr>
          <w:rFonts w:ascii="Wingdings-Regular" w:eastAsia="Wingdings-Regular" w:hAnsi="TimesNewRomanPSMT" w:cs="Wingdings-Regular"/>
        </w:rPr>
        <w:t xml:space="preserve"> </w:t>
      </w:r>
      <w:r>
        <w:rPr>
          <w:rFonts w:ascii="TimesNewRomanPSMT" w:hAnsi="TimesNewRomanPSMT" w:cs="TimesNewRomanPSMT"/>
        </w:rPr>
        <w:t>Τον Κανονισμό (ΕΕ) 2008/765 για τον καθορισμό των απαιτήσεων διαπίστευσης και εποπτείας της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αγοράς όσον αφορά την εμπορία των προϊόντων και για την κατάργηση του κανονισμού (ΕΟΚ) αριθ.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339/93 του Συμβουλίου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MT" w:cs="Wingdings-Regular" w:hint="eastAsia"/>
        </w:rPr>
        <w:t></w:t>
      </w:r>
      <w:r>
        <w:rPr>
          <w:rFonts w:ascii="Wingdings-Regular" w:eastAsia="Wingdings-Regular" w:hAnsi="TimesNewRomanPSMT" w:cs="Wingdings-Regular"/>
        </w:rPr>
        <w:t xml:space="preserve"> </w:t>
      </w:r>
      <w:r>
        <w:rPr>
          <w:rFonts w:ascii="TimesNewRomanPSMT" w:hAnsi="TimesNewRomanPSMT" w:cs="TimesNewRomanPSMT"/>
        </w:rPr>
        <w:t>Επίσημη Εφημερίδα της Ευρωπαϊκής Ένωσης 2017</w:t>
      </w:r>
      <w:proofErr w:type="gramStart"/>
      <w:r>
        <w:rPr>
          <w:rFonts w:ascii="TimesNewRomanPSMT" w:hAnsi="TimesNewRomanPSMT" w:cs="TimesNewRomanPSMT"/>
        </w:rPr>
        <w:t>,/</w:t>
      </w:r>
      <w:proofErr w:type="gramEnd"/>
      <w:r>
        <w:rPr>
          <w:rFonts w:ascii="TimesNewRomanPSMT" w:hAnsi="TimesNewRomanPSMT" w:cs="TimesNewRomanPSMT"/>
        </w:rPr>
        <w:t>C 389/03. “ Ανακοίνωση της Επιτροπής στο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πλαίσιο της εφαρμογής της οδηγίας 93/42/ΕΟΚ του Συμβουλίου περί των </w:t>
      </w:r>
      <w:proofErr w:type="spellStart"/>
      <w:r>
        <w:rPr>
          <w:rFonts w:ascii="TimesNewRomanPSMT" w:hAnsi="TimesNewRomanPSMT" w:cs="TimesNewRomanPSMT"/>
        </w:rPr>
        <w:t>ιατροτεχνολογικών</w:t>
      </w:r>
      <w:proofErr w:type="spellEnd"/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προϊόντων”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Wingdings-Regular" w:eastAsia="Wingdings-Regular" w:hAnsi="TimesNewRomanPSMT" w:cs="Wingdings-Regular" w:hint="eastAsia"/>
        </w:rPr>
        <w:t></w:t>
      </w:r>
      <w:r>
        <w:rPr>
          <w:rFonts w:ascii="Wingdings-Regular" w:eastAsia="Wingdings-Regular" w:hAnsi="TimesNewRomanPSMT" w:cs="Wingdings-Regular"/>
        </w:rPr>
        <w:t xml:space="preserve"> </w:t>
      </w:r>
      <w:r>
        <w:rPr>
          <w:rFonts w:ascii="TimesNewRomanPSMT" w:hAnsi="TimesNewRomanPSMT" w:cs="TimesNewRomanPSMT"/>
        </w:rPr>
        <w:t>Επίσημη Εφημερίδα της Ευρωπαϊκής Ένωσης 2014</w:t>
      </w:r>
      <w:proofErr w:type="gramStart"/>
      <w:r>
        <w:rPr>
          <w:rFonts w:ascii="TimesNewRomanPSMT" w:hAnsi="TimesNewRomanPSMT" w:cs="TimesNewRomanPSMT"/>
        </w:rPr>
        <w:t>,/</w:t>
      </w:r>
      <w:proofErr w:type="gramEnd"/>
      <w:r>
        <w:rPr>
          <w:rFonts w:ascii="TimesNewRomanPSMT" w:hAnsi="TimesNewRomanPSMT" w:cs="TimesNewRomanPSMT"/>
        </w:rPr>
        <w:t>C 110/77. “ Ανακοίνωση της Επιτροπής στο</w:t>
      </w:r>
    </w:p>
    <w:p w:rsid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πλαίσιο της εφαρμογής της οδηγίας 93/42/ΕΟΚ του Συμβουλίου περί των </w:t>
      </w:r>
      <w:proofErr w:type="spellStart"/>
      <w:r>
        <w:rPr>
          <w:rFonts w:ascii="TimesNewRomanPSMT" w:hAnsi="TimesNewRomanPSMT" w:cs="TimesNewRomanPSMT"/>
        </w:rPr>
        <w:t>ιατροτεχνολογικών</w:t>
      </w:r>
      <w:proofErr w:type="spellEnd"/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</w:rPr>
        <w:t>προϊόντων</w:t>
      </w:r>
      <w:r w:rsidRPr="009D0D93">
        <w:rPr>
          <w:rFonts w:ascii="TimesNewRomanPSMT" w:hAnsi="TimesNewRomanPSMT" w:cs="TimesNewRomanPSMT"/>
          <w:lang w:val="en-US"/>
        </w:rPr>
        <w:t>”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Wingdings-Regular" w:eastAsia="Wingdings-Regular" w:hAnsi="TimesNewRomanPSMT" w:cs="Wingdings-Regular" w:hint="eastAsia"/>
        </w:rPr>
        <w:t></w:t>
      </w:r>
      <w:r w:rsidRPr="009D0D93">
        <w:rPr>
          <w:rFonts w:ascii="Wingdings-Regular" w:eastAsia="Wingdings-Regular" w:hAnsi="TimesNewRomanPSMT" w:cs="Wingdings-Regular"/>
          <w:lang w:val="en-US"/>
        </w:rPr>
        <w:t xml:space="preserve"> </w:t>
      </w:r>
      <w:r w:rsidRPr="009D0D93">
        <w:rPr>
          <w:rFonts w:ascii="TimesNewRomanPSMT" w:hAnsi="TimesNewRomanPSMT" w:cs="TimesNewRomanPSMT"/>
          <w:lang w:val="en-US"/>
        </w:rPr>
        <w:t>WHO /7August 2020, “Technical Specifications for Personal Protective Equipment and Related IPC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9D0D93">
        <w:rPr>
          <w:rFonts w:ascii="TimesNewRomanPSMT" w:hAnsi="TimesNewRomanPSMT" w:cs="TimesNewRomanPSMT"/>
          <w:lang w:val="en-US"/>
        </w:rPr>
        <w:t>supplies”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Wingdings-Regular" w:eastAsia="Wingdings-Regular" w:hAnsi="TimesNewRomanPSMT" w:cs="Wingdings-Regular" w:hint="eastAsia"/>
        </w:rPr>
        <w:t></w:t>
      </w:r>
      <w:r w:rsidRPr="009D0D93">
        <w:rPr>
          <w:rFonts w:ascii="Wingdings-Regular" w:eastAsia="Wingdings-Regular" w:hAnsi="TimesNewRomanPSMT" w:cs="Wingdings-Regular"/>
          <w:lang w:val="en-US"/>
        </w:rPr>
        <w:t xml:space="preserve"> </w:t>
      </w:r>
      <w:r w:rsidRPr="009D0D93">
        <w:rPr>
          <w:rFonts w:ascii="TimesNewRomanPSMT" w:hAnsi="TimesNewRomanPSMT" w:cs="TimesNewRomanPSMT"/>
          <w:lang w:val="en-US"/>
        </w:rPr>
        <w:t>WHO Operational Support &amp; Logistics Disease, Comodity packages 7January 2020, Novel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9D0D93">
        <w:rPr>
          <w:rFonts w:ascii="TimesNewRomanPSMT" w:hAnsi="TimesNewRomanPSMT" w:cs="TimesNewRomanPSMT"/>
          <w:lang w:val="en-US"/>
        </w:rPr>
        <w:lastRenderedPageBreak/>
        <w:t>Coronovirus(2019 new CoV) v2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Wingdings-Regular" w:eastAsia="Wingdings-Regular" w:hAnsi="TimesNewRomanPSMT" w:cs="Wingdings-Regular" w:hint="eastAsia"/>
        </w:rPr>
        <w:t></w:t>
      </w:r>
      <w:r w:rsidRPr="009D0D93">
        <w:rPr>
          <w:rFonts w:ascii="Wingdings-Regular" w:eastAsia="Wingdings-Regular" w:hAnsi="TimesNewRomanPSMT" w:cs="Wingdings-Regular"/>
          <w:lang w:val="en-US"/>
        </w:rPr>
        <w:t xml:space="preserve"> </w:t>
      </w:r>
      <w:r w:rsidRPr="009D0D93">
        <w:rPr>
          <w:rFonts w:ascii="TimesNewRomanPSMT" w:hAnsi="TimesNewRomanPSMT" w:cs="TimesNewRomanPSMT"/>
          <w:lang w:val="en-US"/>
        </w:rPr>
        <w:t>Nick Gardner “Reading the runes: demystification of disposal glove legislation”, European Journal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9D0D93">
        <w:rPr>
          <w:rFonts w:ascii="TimesNewRomanPSMT" w:hAnsi="TimesNewRomanPSMT" w:cs="TimesNewRomanPSMT"/>
          <w:sz w:val="24"/>
          <w:szCs w:val="24"/>
          <w:lang w:val="en-US"/>
        </w:rPr>
        <w:t>of Parenteral &amp; Pharmaceutical Sciences 2010, 15(1):13-17</w:t>
      </w:r>
    </w:p>
    <w:p w:rsidR="009D0D93" w:rsidRPr="009D0D93" w:rsidRDefault="009D0D93" w:rsidP="009D0D9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>
        <w:rPr>
          <w:rFonts w:ascii="Wingdings-Regular" w:eastAsia="Wingdings-Regular" w:hAnsi="TimesNewRomanPSMT" w:cs="Wingdings-Regular" w:hint="eastAsia"/>
        </w:rPr>
        <w:t></w:t>
      </w:r>
      <w:r w:rsidRPr="009D0D93">
        <w:rPr>
          <w:rFonts w:ascii="Wingdings-Regular" w:eastAsia="Wingdings-Regular" w:hAnsi="TimesNewRomanPSMT" w:cs="Wingdings-Regular"/>
          <w:lang w:val="en-US"/>
        </w:rPr>
        <w:t xml:space="preserve"> </w:t>
      </w:r>
      <w:r w:rsidRPr="009D0D93">
        <w:rPr>
          <w:rFonts w:ascii="TimesNewRomanPSMT" w:hAnsi="TimesNewRomanPSMT" w:cs="TimesNewRomanPSMT"/>
          <w:lang w:val="en-US"/>
        </w:rPr>
        <w:t>Axel Kramer, Ojan Assadian.</w:t>
      </w:r>
      <w:proofErr w:type="gramEnd"/>
      <w:r w:rsidRPr="009D0D93">
        <w:rPr>
          <w:rFonts w:ascii="TimesNewRomanPSMT" w:hAnsi="TimesNewRomanPSMT" w:cs="TimesNewRomanPSMT"/>
          <w:lang w:val="en-US"/>
        </w:rPr>
        <w:t xml:space="preserve"> “Indications and the requirements of single use medical gloves” GMS</w:t>
      </w:r>
    </w:p>
    <w:p w:rsidR="00A076C5" w:rsidRPr="009D0D93" w:rsidRDefault="009D0D93" w:rsidP="009D0D93">
      <w:pPr>
        <w:rPr>
          <w:lang w:val="en-US"/>
        </w:rPr>
      </w:pPr>
      <w:r w:rsidRPr="009D0D93">
        <w:rPr>
          <w:rFonts w:ascii="TimesNewRomanPSMT" w:hAnsi="TimesNewRomanPSMT" w:cs="TimesNewRomanPSMT"/>
          <w:lang w:val="en-US"/>
        </w:rPr>
        <w:t>Hygiene and Infection Control 2016, Vol.11, ISSN2196-5226</w:t>
      </w:r>
      <w:r w:rsidRPr="009D0D93">
        <w:rPr>
          <w:rFonts w:ascii="TimesNewRomanPS-BoldMT" w:hAnsi="TimesNewRomanPS-BoldMT" w:cs="TimesNewRomanPS-BoldMT"/>
          <w:sz w:val="20"/>
          <w:szCs w:val="20"/>
          <w:lang w:val="en-US"/>
        </w:rPr>
        <w:t>__</w:t>
      </w:r>
    </w:p>
    <w:sectPr w:rsidR="00A076C5" w:rsidRPr="009D0D93" w:rsidSect="00A07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D93"/>
    <w:rsid w:val="009D0D93"/>
    <w:rsid w:val="00A0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2021-09-21T08:05:00Z</dcterms:created>
  <dcterms:modified xsi:type="dcterms:W3CDTF">2021-09-21T08:06:00Z</dcterms:modified>
</cp:coreProperties>
</file>