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5B6" w:rsidRDefault="008865B6">
      <w:pPr>
        <w:rPr>
          <w:rFonts w:ascii="Arial" w:hAnsi="Arial" w:cs="Arial"/>
        </w:rPr>
      </w:pPr>
      <w:r>
        <w:rPr>
          <w:rFonts w:ascii="Arial" w:hAnsi="Arial" w:cs="Arial"/>
          <w:b/>
          <w:sz w:val="28"/>
          <w:szCs w:val="28"/>
        </w:rPr>
        <w:t>Ράμματα Χειρουργικά (από Μητρώο Προδιαγραφών ΕΚΕΒΥΛ)</w:t>
      </w:r>
    </w:p>
    <w:p w:rsidR="008865B6" w:rsidRDefault="008865B6">
      <w:pPr>
        <w:pStyle w:val="ListParagraph"/>
        <w:numPr>
          <w:ilvl w:val="0"/>
          <w:numId w:val="1"/>
        </w:numPr>
        <w:rPr>
          <w:rFonts w:ascii="Arial" w:hAnsi="Arial" w:cs="Arial"/>
        </w:rPr>
      </w:pPr>
      <w:r>
        <w:rPr>
          <w:rFonts w:ascii="Arial" w:hAnsi="Arial" w:cs="Arial"/>
        </w:rPr>
        <w:t xml:space="preserve">Τα προσφερόμενα ράμματα κάθε τύπου πρέπει να είναι πιστοποιημένα από κοινοποιημένο οργανισμό που βρίσκεται εγκατεστημένος και λειτουργεί νόμιμα στο έδαφος ενός από τα Κράτη Μέλη της Ευρωπαϊκής Ένωσης και να φέρουν σε ευκρινή θέση του τελικού  περιέκτη τους την προβλεπόμενη σήμανση </w:t>
      </w:r>
      <w:r>
        <w:rPr>
          <w:rFonts w:ascii="Arial" w:hAnsi="Arial" w:cs="Arial"/>
          <w:lang w:val="en-US"/>
        </w:rPr>
        <w:t>CE</w:t>
      </w:r>
      <w:r>
        <w:rPr>
          <w:rFonts w:ascii="Arial" w:hAnsi="Arial" w:cs="Arial"/>
        </w:rPr>
        <w:t>, η οποία αποδεικνύει τη συμμόρφωσή τους με τις απαιτήσεις της Οδηγίας 93/42/ΕΟΚ, (ΔΥ8δ/Γ.Π.οικ. 130648-Εναρμόνιση της εθνικής νομοθεσίας προς τις διατάξεις της Οδηγίας 93/42/ΕΟΚ «περί ιατροτεχνολογικών προϊόντων» - ΦΕΚ  2198/τευχ. Β/02-10-09)</w:t>
      </w:r>
    </w:p>
    <w:p w:rsidR="008865B6" w:rsidRDefault="008865B6">
      <w:pPr>
        <w:pStyle w:val="ListParagraph"/>
        <w:numPr>
          <w:ilvl w:val="0"/>
          <w:numId w:val="1"/>
        </w:numPr>
        <w:rPr>
          <w:rFonts w:ascii="Arial" w:hAnsi="Arial" w:cs="Arial"/>
        </w:rPr>
      </w:pPr>
      <w:r>
        <w:rPr>
          <w:rFonts w:ascii="Arial" w:hAnsi="Arial" w:cs="Arial"/>
        </w:rPr>
        <w:t>Τα προσφερόμενα ράμματα πρέπει να συμμορφώνονται με τις απαιτήσεις των σχετικών μονογραφιών της Ευρωπαϊκής Φαρμακοποιίας</w:t>
      </w:r>
    </w:p>
    <w:p w:rsidR="008865B6" w:rsidRDefault="008865B6">
      <w:pPr>
        <w:pStyle w:val="ListParagraph"/>
        <w:numPr>
          <w:ilvl w:val="0"/>
          <w:numId w:val="1"/>
        </w:numPr>
        <w:rPr>
          <w:rFonts w:ascii="Arial" w:hAnsi="Arial" w:cs="Arial"/>
        </w:rPr>
      </w:pPr>
      <w:r>
        <w:rPr>
          <w:rFonts w:ascii="Arial" w:hAnsi="Arial" w:cs="Arial"/>
        </w:rPr>
        <w:t>Κάθε προσφερόμενο προϊόν πρέπει να συνοδεύεται από τις πληροφορίες εκείνες, που είναι αναγκαίες για τη χρησιμοποίησή του με πλήρη ασφάλεια και την αναγνώριση του κατασκευαστή. Οι πληροφορίες αυτές θα παρέχονται με τους τρόπους που ορίζονται από την παρ. 13 του παραρτήματος Ι της υπ’ αριθ. ΔΥ8δ/Γ.Π.οικ. 130648 (ΦΕΚ 2198/Β/02-10-09)</w:t>
      </w:r>
    </w:p>
    <w:p w:rsidR="008865B6" w:rsidRDefault="008865B6">
      <w:pPr>
        <w:pStyle w:val="ListParagraph"/>
        <w:numPr>
          <w:ilvl w:val="0"/>
          <w:numId w:val="1"/>
        </w:numPr>
        <w:rPr>
          <w:rFonts w:ascii="Arial" w:hAnsi="Arial" w:cs="Arial"/>
        </w:rPr>
      </w:pPr>
      <w:r>
        <w:rPr>
          <w:rFonts w:ascii="Arial" w:hAnsi="Arial" w:cs="Arial"/>
        </w:rPr>
        <w:t>Στην επιφάνεια του τελικού περιέκτη όλων των προσφερόμενων ραμμάτων πρέπει να αναγράφονται με ευκρίνη και ευνάγνωστο τρόπο τουλάχιστον τα παρακάτω στοιχεία:</w:t>
      </w:r>
    </w:p>
    <w:p w:rsidR="008865B6" w:rsidRDefault="008865B6">
      <w:pPr>
        <w:pStyle w:val="ListParagraph"/>
        <w:numPr>
          <w:ilvl w:val="1"/>
          <w:numId w:val="2"/>
        </w:numPr>
        <w:rPr>
          <w:rFonts w:ascii="Arial" w:hAnsi="Arial" w:cs="Arial"/>
        </w:rPr>
      </w:pPr>
      <w:r>
        <w:rPr>
          <w:rFonts w:ascii="Arial" w:hAnsi="Arial" w:cs="Arial"/>
        </w:rPr>
        <w:t>Ο κώδικας καταλόγου που χρησιμοποιείται από τον κατασκευαστή</w:t>
      </w:r>
    </w:p>
    <w:p w:rsidR="008865B6" w:rsidRDefault="008865B6">
      <w:pPr>
        <w:pStyle w:val="ListParagraph"/>
        <w:numPr>
          <w:ilvl w:val="1"/>
          <w:numId w:val="2"/>
        </w:numPr>
        <w:rPr>
          <w:rFonts w:ascii="Arial" w:hAnsi="Arial" w:cs="Arial"/>
        </w:rPr>
      </w:pPr>
      <w:r>
        <w:rPr>
          <w:rFonts w:ascii="Arial" w:hAnsi="Arial" w:cs="Arial"/>
        </w:rPr>
        <w:t>Η χημική σύσταση του υλικού κατασκευής του νήματος</w:t>
      </w:r>
    </w:p>
    <w:p w:rsidR="008865B6" w:rsidRDefault="008865B6">
      <w:pPr>
        <w:pStyle w:val="ListParagraph"/>
        <w:numPr>
          <w:ilvl w:val="1"/>
          <w:numId w:val="2"/>
        </w:numPr>
        <w:rPr>
          <w:rFonts w:ascii="Arial" w:hAnsi="Arial" w:cs="Arial"/>
        </w:rPr>
      </w:pPr>
      <w:r>
        <w:rPr>
          <w:rFonts w:ascii="Arial" w:hAnsi="Arial" w:cs="Arial"/>
        </w:rPr>
        <w:t>Η χημική σύσταση του υλικού το οποίο ενδεχομένως χρησιμοποιείται για την επικάλυψη του νήματος</w:t>
      </w:r>
    </w:p>
    <w:p w:rsidR="008865B6" w:rsidRDefault="008865B6">
      <w:pPr>
        <w:pStyle w:val="ListParagraph"/>
        <w:numPr>
          <w:ilvl w:val="1"/>
          <w:numId w:val="2"/>
        </w:numPr>
        <w:rPr>
          <w:rFonts w:ascii="Arial" w:hAnsi="Arial" w:cs="Arial"/>
        </w:rPr>
      </w:pPr>
      <w:r>
        <w:rPr>
          <w:rFonts w:ascii="Arial" w:hAnsi="Arial" w:cs="Arial"/>
        </w:rPr>
        <w:t>Η κατασκευαστική δομή (πλεκτό πολύκλωνο, περιελιγμένο πολύκλωνο, μονόκλωνο, κ.ο.κ.) και το χρώμα του νήματος</w:t>
      </w:r>
    </w:p>
    <w:p w:rsidR="008865B6" w:rsidRDefault="008865B6">
      <w:pPr>
        <w:pStyle w:val="ListParagraph"/>
        <w:numPr>
          <w:ilvl w:val="1"/>
          <w:numId w:val="2"/>
        </w:numPr>
        <w:rPr>
          <w:rFonts w:ascii="Arial" w:hAnsi="Arial" w:cs="Arial"/>
        </w:rPr>
      </w:pPr>
      <w:r>
        <w:rPr>
          <w:rFonts w:ascii="Arial" w:hAnsi="Arial" w:cs="Arial"/>
        </w:rPr>
        <w:t>Η διάμετρος και του μήκος του νήματος στο μετρικό σύστημα</w:t>
      </w:r>
    </w:p>
    <w:p w:rsidR="008865B6" w:rsidRDefault="008865B6">
      <w:pPr>
        <w:pStyle w:val="ListParagraph"/>
        <w:numPr>
          <w:ilvl w:val="1"/>
          <w:numId w:val="2"/>
        </w:numPr>
        <w:rPr>
          <w:rFonts w:ascii="Arial" w:hAnsi="Arial" w:cs="Arial"/>
        </w:rPr>
      </w:pPr>
      <w:r>
        <w:rPr>
          <w:rFonts w:ascii="Arial" w:hAnsi="Arial" w:cs="Arial"/>
        </w:rPr>
        <w:t>Το μήκος της βελόνης στο μετρικό σύστημα, ο τύπος της διατομής της καθώς και ο βαθμός κάμψης της βελόνης σε μοίρες ή σε κλάσμα περιφέρειας κύκλου</w:t>
      </w:r>
    </w:p>
    <w:p w:rsidR="008865B6" w:rsidRDefault="008865B6">
      <w:pPr>
        <w:pStyle w:val="ListParagraph"/>
        <w:numPr>
          <w:ilvl w:val="1"/>
          <w:numId w:val="2"/>
        </w:numPr>
        <w:rPr>
          <w:rFonts w:ascii="Arial" w:hAnsi="Arial" w:cs="Arial"/>
        </w:rPr>
      </w:pPr>
      <w:r>
        <w:rPr>
          <w:rFonts w:ascii="Arial" w:hAnsi="Arial" w:cs="Arial"/>
        </w:rPr>
        <w:t>Η ένδειξη «στείρο», η μέθοδος αποστείρωσης, ο αριθμός της κατασκευαστικής παρτίδας, η οριακή ημερομηνία ασφαλούς χρήσης εκφρασμένη σε έτος και μήνα και η ένδειξη ότι το προϊόν προορίζεται για μία και μόνη χρήση (σημ. τα στοιχεία αυτά μπορεί να παρέχονται και με τη χρήση ειδικών συμβόλων που προβλέπονται από τις σχετικές οδηγίες)</w:t>
      </w:r>
    </w:p>
    <w:p w:rsidR="008865B6" w:rsidRDefault="008865B6">
      <w:pPr>
        <w:pStyle w:val="ListParagraph"/>
        <w:numPr>
          <w:ilvl w:val="0"/>
          <w:numId w:val="1"/>
        </w:numPr>
        <w:rPr>
          <w:rFonts w:ascii="Arial" w:hAnsi="Arial" w:cs="Arial"/>
        </w:rPr>
      </w:pPr>
      <w:r>
        <w:rPr>
          <w:rFonts w:ascii="Arial" w:hAnsi="Arial" w:cs="Arial"/>
        </w:rPr>
        <w:t xml:space="preserve">Το μήκος των προσφερομένων ατραυματικών ραμμάτων, (ράμματα με προσαρμοσμένη βελόνη) μπορεί να είναι έως και 10% μικρότερο από το ζητούμενο  μήκος της διακήρυξης. Ατραυματικά  ράμματα με μήκος </w:t>
      </w:r>
      <w:r>
        <w:rPr>
          <w:rFonts w:ascii="Arial" w:hAnsi="Arial" w:cs="Arial"/>
        </w:rPr>
        <w:lastRenderedPageBreak/>
        <w:t>μεγαλύτερο από το ζητούμενο θεωρούνται ως συμμορφούμενα και δεν απορρίπτονται.</w:t>
      </w:r>
    </w:p>
    <w:p w:rsidR="008865B6" w:rsidRDefault="008865B6">
      <w:pPr>
        <w:pStyle w:val="ListParagraph"/>
        <w:numPr>
          <w:ilvl w:val="0"/>
          <w:numId w:val="1"/>
        </w:numPr>
        <w:rPr>
          <w:rFonts w:ascii="Arial" w:hAnsi="Arial" w:cs="Arial"/>
        </w:rPr>
      </w:pPr>
      <w:r>
        <w:rPr>
          <w:rFonts w:ascii="Arial" w:hAnsi="Arial" w:cs="Arial"/>
        </w:rPr>
        <w:t>Το μήκος των προσφερομένων βελονών μπορεί να είναι έως 1 χιλ μικρότερο ή μεγαλύτερο για βελόνες μικρότερες ή ίσες των  30 χιλ και έως 2 χιλ μικρότερο ή μεγαλύτερο για βελόνες μεγαλύτερες των 30 χιλ</w:t>
      </w:r>
    </w:p>
    <w:p w:rsidR="008865B6" w:rsidRDefault="008865B6">
      <w:pPr>
        <w:pStyle w:val="ListParagraph"/>
        <w:numPr>
          <w:ilvl w:val="0"/>
          <w:numId w:val="1"/>
        </w:numPr>
        <w:rPr>
          <w:rFonts w:ascii="Arial" w:hAnsi="Arial" w:cs="Arial"/>
        </w:rPr>
      </w:pPr>
      <w:r>
        <w:rPr>
          <w:rFonts w:ascii="Arial" w:hAnsi="Arial" w:cs="Arial"/>
        </w:rPr>
        <w:t>Στα προσφερόμενα ατραυματικά ράμματα, (ράμματα με βελόνη), οι βελόνες πρέπει να είναι τρυπανισμένου οπίσθιου άκρου,  (βελόνες στις οποίες η συγκράτηση του νήματος γίνεται με είσοδό του σε οπή στο οπίσθιο τμήμα της βελόνης και μηχανική σύσφιξη). Ατραυματικά ράμματα με βελόνες που διαθέτουν οπίσθιο άκρο ανοικτού τύπου, (βελόνες στις οποίες η συγκράτηση του νήματος γίνεται με εγκλωβισμό εντός αναδιπλούμενου πεπλατυσμένου άκρου), δε γίνονται αποδεκτά και απορρίπτονται ως απαράδεκτα.</w:t>
      </w:r>
    </w:p>
    <w:p w:rsidR="008865B6" w:rsidRDefault="008865B6">
      <w:pPr>
        <w:pStyle w:val="ListParagraph"/>
        <w:numPr>
          <w:ilvl w:val="0"/>
          <w:numId w:val="1"/>
        </w:numPr>
        <w:rPr>
          <w:rFonts w:ascii="Arial" w:hAnsi="Arial" w:cs="Arial"/>
        </w:rPr>
      </w:pPr>
      <w:r>
        <w:rPr>
          <w:rFonts w:ascii="Arial" w:hAnsi="Arial" w:cs="Arial"/>
        </w:rPr>
        <w:t>Το μήκος των προσφερομένων ελεύθερων ραμμάτων,  (απολινώσεων), μπορεί να είναι έως και 10% μικρότερο ή μεγαλύτερο από το μήκος που ζητείται στην διακήρυξη. Προσφορές ραμμάτων με μεγαλύτερη απόκλιση απορρίπτονται ως απαράδεκτες.</w:t>
      </w:r>
    </w:p>
    <w:p w:rsidR="008865B6" w:rsidRDefault="008865B6">
      <w:pPr>
        <w:pStyle w:val="ListParagraph"/>
        <w:numPr>
          <w:ilvl w:val="0"/>
          <w:numId w:val="1"/>
        </w:numPr>
        <w:rPr>
          <w:rFonts w:ascii="Arial" w:hAnsi="Arial" w:cs="Arial"/>
        </w:rPr>
      </w:pPr>
      <w:r>
        <w:rPr>
          <w:rFonts w:ascii="Arial" w:hAnsi="Arial" w:cs="Arial"/>
        </w:rPr>
        <w:t>Οι συμμετέχοντες  στον διαγωνισμό  πρέπει να δηλώσουν στην τεχνική τους προσφορά το εργοστάσιο κατασκευής των ραμμάτων καθώς και τον τόπο εγκατάστασής τους.</w:t>
      </w:r>
    </w:p>
    <w:p w:rsidR="008865B6" w:rsidRDefault="008865B6">
      <w:pPr>
        <w:pStyle w:val="ListParagraph"/>
        <w:numPr>
          <w:ilvl w:val="0"/>
          <w:numId w:val="1"/>
        </w:numPr>
        <w:rPr>
          <w:rFonts w:ascii="Arial" w:hAnsi="Arial" w:cs="Arial"/>
        </w:rPr>
      </w:pPr>
      <w:r>
        <w:rPr>
          <w:rFonts w:ascii="Arial" w:hAnsi="Arial" w:cs="Arial"/>
        </w:rPr>
        <w:t>Κατά την διάρκεια εκτέλεσης των συμβάσεων η ημερομηνία παράδοσης των ραμμάτων δεν θα πρέπει να απέχει περισσότερο από 12 μήνες από την ημερομηνία παραγωγής τους.</w:t>
      </w:r>
    </w:p>
    <w:p w:rsidR="008865B6" w:rsidRDefault="008865B6">
      <w:pPr>
        <w:pStyle w:val="ListParagraph"/>
        <w:numPr>
          <w:ilvl w:val="0"/>
          <w:numId w:val="1"/>
        </w:numPr>
        <w:rPr>
          <w:rFonts w:ascii="Arial" w:hAnsi="Arial" w:cs="Arial"/>
        </w:rPr>
      </w:pPr>
      <w:r>
        <w:rPr>
          <w:rFonts w:ascii="Arial" w:hAnsi="Arial" w:cs="Arial"/>
        </w:rPr>
        <w:t>Διευκρίνιση 1</w:t>
      </w:r>
      <w:r>
        <w:rPr>
          <w:rFonts w:ascii="Arial" w:hAnsi="Arial" w:cs="Arial"/>
          <w:vertAlign w:val="superscript"/>
        </w:rPr>
        <w:t>η</w:t>
      </w:r>
      <w:r>
        <w:rPr>
          <w:rFonts w:ascii="Arial" w:hAnsi="Arial" w:cs="Arial"/>
        </w:rPr>
        <w:t>: ως τελικός περιέκτης νοείται το τελικό μέρος της συνολικής συσκευασίας του χειρουργικού ράμματος το άνοιγμα του οποίου εκθέτει το ράμμα σε μη στείρο περιβάλλον ή άλλως το μέρος εκείνο της συσκευασίας που δεν μπορεί να ανοιχθεί ή να καταστραφεί  με οποιονδήποτε τρόπο χωρίς την ταυτόχρονη απώλεια της στειρότητας του ράμματος.</w:t>
      </w:r>
    </w:p>
    <w:p w:rsidR="008865B6" w:rsidRDefault="008865B6">
      <w:pPr>
        <w:pStyle w:val="ListParagraph"/>
        <w:numPr>
          <w:ilvl w:val="0"/>
          <w:numId w:val="1"/>
        </w:numPr>
        <w:rPr>
          <w:rFonts w:ascii="Arial" w:hAnsi="Arial" w:cs="Arial"/>
        </w:rPr>
      </w:pPr>
      <w:r>
        <w:rPr>
          <w:rFonts w:ascii="Arial" w:hAnsi="Arial" w:cs="Arial"/>
        </w:rPr>
        <w:t>Διευκρίνιση 2</w:t>
      </w:r>
      <w:r>
        <w:rPr>
          <w:rFonts w:ascii="Arial" w:hAnsi="Arial" w:cs="Arial"/>
          <w:vertAlign w:val="superscript"/>
        </w:rPr>
        <w:t>η</w:t>
      </w:r>
      <w:r>
        <w:rPr>
          <w:rFonts w:ascii="Arial" w:hAnsi="Arial" w:cs="Arial"/>
        </w:rPr>
        <w:t>: η τοποθέτηση των επισημάνσεων της συσκευασίας, που αναφέρονται παραπάνω και θεωρούνται ουσιώδεις προϋποθέσεις για την αποδοχή των προσφερομένων ραμμάτων,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ΦΕΚ 2198/Β/02-10-09). Προσφορές ραμμάτων που φέρουν επισημάνσεις πάσης φύσεως που έχουν τοποθετηθεί , σε οποιοδήποτε μέρος της συσκευασίας τους, από τρίτους, ακόμη και ένα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 διάρκεια εκτέλεσης των συμβάσεων θα αποτελεί λόγο μη αποδοχής των μη παραδιδόμενων υλικών.</w:t>
      </w:r>
    </w:p>
    <w:p w:rsidR="008865B6" w:rsidRDefault="008865B6">
      <w:pPr>
        <w:pStyle w:val="ListParagraph"/>
        <w:numPr>
          <w:ilvl w:val="0"/>
          <w:numId w:val="1"/>
        </w:numPr>
        <w:rPr>
          <w:rFonts w:ascii="Arial" w:hAnsi="Arial" w:cs="Arial"/>
        </w:rPr>
      </w:pPr>
      <w:r>
        <w:rPr>
          <w:rFonts w:ascii="Arial" w:hAnsi="Arial" w:cs="Arial"/>
        </w:rPr>
        <w:t>Διευκρίνιση 3</w:t>
      </w:r>
      <w:r>
        <w:rPr>
          <w:rFonts w:ascii="Arial" w:hAnsi="Arial" w:cs="Arial"/>
          <w:vertAlign w:val="superscript"/>
        </w:rPr>
        <w:t>η</w:t>
      </w:r>
      <w:r>
        <w:rPr>
          <w:rFonts w:ascii="Arial" w:hAnsi="Arial" w:cs="Arial"/>
        </w:rPr>
        <w:t xml:space="preserve">: Ο προσανατολισμός της κορυφής του τριγώνου των βελονών τριγωνικής διατομής,  (βελόνες δέρματος ή βελόνες κόπτουσες), δεν αποτελεί </w:t>
      </w:r>
      <w:r>
        <w:rPr>
          <w:rFonts w:ascii="Arial" w:hAnsi="Arial" w:cs="Arial"/>
        </w:rPr>
        <w:lastRenderedPageBreak/>
        <w:t>κριτήριο αξιολόγησης. Υπό την έννοια αυτή οι τριγωνικές βελόνες εσωτερικής και εξωτερικής κορυφής, (ή άλλως βελόνες συμβατικώς κόπτουσες και βελόνες αναστρόφως κόπτουσες), θεωρούνται όμοιες και κατατάσσονται σε μία ενιαία κατηγορία.</w:t>
      </w:r>
    </w:p>
    <w:p w:rsidR="008865B6" w:rsidRDefault="008865B6">
      <w:pPr>
        <w:pStyle w:val="ListParagraph"/>
        <w:numPr>
          <w:ilvl w:val="0"/>
          <w:numId w:val="1"/>
        </w:numPr>
        <w:rPr>
          <w:rFonts w:ascii="Arial" w:hAnsi="Arial" w:cs="Arial"/>
        </w:rPr>
      </w:pPr>
      <w:r>
        <w:rPr>
          <w:rFonts w:ascii="Arial" w:hAnsi="Arial" w:cs="Arial"/>
        </w:rPr>
        <w:t>Διευκρίνιση 4</w:t>
      </w:r>
      <w:r>
        <w:rPr>
          <w:rFonts w:ascii="Arial" w:hAnsi="Arial" w:cs="Arial"/>
          <w:vertAlign w:val="superscript"/>
        </w:rPr>
        <w:t>η</w:t>
      </w:r>
      <w:r>
        <w:rPr>
          <w:rFonts w:ascii="Arial" w:hAnsi="Arial" w:cs="Arial"/>
        </w:rPr>
        <w:t>: Ο αριθμός ατραυματικών ραμμάτων, (ράμματα με βελόνη), ανά τελικό περιέκτη δεν αποτελεί ουσιώδες κριτήριο αξιολόγησης και δεν επιτρέπεται να συνιστά λόγο  ειδικής προτίμησης ή απόρριψης προσφορών. Για την οικονομική αξιολόγηση προσφορών με διαφορετικό αριθμό ατραυματικών ραμμάτων ανά τελικό περιέκτη λαμβάνεται υπ’ όψη η ανά ράμμα τιμή</w:t>
      </w:r>
    </w:p>
    <w:p w:rsidR="008865B6" w:rsidRDefault="008865B6">
      <w:pPr>
        <w:pStyle w:val="ListParagraph"/>
        <w:numPr>
          <w:ilvl w:val="0"/>
          <w:numId w:val="1"/>
        </w:numPr>
        <w:rPr>
          <w:rFonts w:ascii="Arial" w:hAnsi="Arial" w:cs="Arial"/>
        </w:rPr>
      </w:pPr>
      <w:r>
        <w:rPr>
          <w:rFonts w:ascii="Arial" w:hAnsi="Arial" w:cs="Arial"/>
        </w:rPr>
        <w:t>Διευκρίνιση 5</w:t>
      </w:r>
      <w:r>
        <w:rPr>
          <w:rFonts w:ascii="Arial" w:hAnsi="Arial" w:cs="Arial"/>
          <w:vertAlign w:val="superscript"/>
        </w:rPr>
        <w:t>η</w:t>
      </w:r>
      <w:r>
        <w:rPr>
          <w:rFonts w:ascii="Arial" w:hAnsi="Arial" w:cs="Arial"/>
        </w:rPr>
        <w:t>: Ο αριθμός ελευθέρων ραμμάτων, (απολινώσεων), ανά τελικό περιέκτη μπορεί να είναι έως και 30% μικρότερος ή μεγαλύτερος από τον αριθμό που ζητά η διακήρυξη. Για την οικονομική αξιολόγηση προσφορών που είναι αποδέκτες σύμφωνα με τον παραπάνω όρο αλλά περιέχουν διαφορετικό αριθμό ραμμάτων ανά  τελικό περιέκτη λαμβάνεται υπ’ όψη η ανά ράμμα τιμή</w:t>
      </w:r>
    </w:p>
    <w:p w:rsidR="008865B6" w:rsidRDefault="008865B6">
      <w:pPr>
        <w:pStyle w:val="ListParagraph"/>
        <w:numPr>
          <w:ilvl w:val="0"/>
          <w:numId w:val="1"/>
        </w:numPr>
        <w:rPr>
          <w:rFonts w:ascii="Arial" w:hAnsi="Arial" w:cs="Arial"/>
        </w:rPr>
      </w:pPr>
      <w:r>
        <w:rPr>
          <w:rFonts w:ascii="Arial" w:hAnsi="Arial" w:cs="Arial"/>
        </w:rPr>
        <w:t>Διευκρίνιση 6</w:t>
      </w:r>
      <w:r>
        <w:rPr>
          <w:rFonts w:ascii="Arial" w:hAnsi="Arial" w:cs="Arial"/>
          <w:vertAlign w:val="superscript"/>
        </w:rPr>
        <w:t>η</w:t>
      </w:r>
      <w:r>
        <w:rPr>
          <w:rFonts w:ascii="Arial" w:hAnsi="Arial" w:cs="Arial"/>
        </w:rPr>
        <w:t>: Το χρώμα των χειρουργικών ραμμάτων, είτε αυτά είναι ατραυματικά, (ράμματα με προσαρμοσμένη βέλονη), είτε ελεύθερα, (απολινώσεις), δεν αξιολογείται και δεν αποτελεί κριτήριο ειδικής προτίμησης ή απόρριψης.</w:t>
      </w:r>
    </w:p>
    <w:p w:rsidR="008865B6" w:rsidRDefault="008865B6">
      <w:pPr>
        <w:pStyle w:val="ListParagraph"/>
        <w:numPr>
          <w:ilvl w:val="0"/>
          <w:numId w:val="1"/>
        </w:numPr>
      </w:pPr>
      <w:r>
        <w:rPr>
          <w:rFonts w:ascii="Arial" w:hAnsi="Arial" w:cs="Arial"/>
        </w:rPr>
        <w:t>Καθ’ όλη τη διάρκεια της σύμβασης δείγματα των προϊόντων δύναται να ελέγχονται ως προς τη στειρότητα και τη συμμόρφωσή τους με τη φαρμακοποιία. Τυχόν μη συμμόρφωση θα αποτελεί λόγο μη αποδοχής των παραδιδόμενων υλικών</w:t>
      </w:r>
    </w:p>
    <w:sectPr w:rsidR="008865B6">
      <w:footerReference w:type="default" r:id="rId7"/>
      <w:pgSz w:w="11906" w:h="16838"/>
      <w:pgMar w:top="1440" w:right="1800" w:bottom="1440" w:left="1800" w:header="720" w:footer="708"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5B6" w:rsidRDefault="008865B6">
      <w:r>
        <w:separator/>
      </w:r>
    </w:p>
  </w:endnote>
  <w:endnote w:type="continuationSeparator" w:id="0">
    <w:p w:rsidR="008865B6" w:rsidRDefault="008865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5B6" w:rsidRDefault="008865B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5B6" w:rsidRDefault="008865B6">
      <w:r>
        <w:separator/>
      </w:r>
    </w:p>
  </w:footnote>
  <w:footnote w:type="continuationSeparator" w:id="0">
    <w:p w:rsidR="008865B6" w:rsidRDefault="008865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95" w:hanging="360"/>
      </w:pPr>
      <w:rPr>
        <w:b w:val="0"/>
        <w:sz w:val="22"/>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4"/>
    <w:lvl w:ilvl="0">
      <w:start w:val="1"/>
      <w:numFmt w:val="decimal"/>
      <w:lvlText w:val="%1."/>
      <w:lvlJc w:val="left"/>
      <w:pPr>
        <w:tabs>
          <w:tab w:val="num" w:pos="0"/>
        </w:tabs>
        <w:ind w:left="720" w:hanging="360"/>
      </w:pPr>
      <w:rPr>
        <w:b w:val="0"/>
        <w:sz w:val="24"/>
        <w:szCs w:val="24"/>
      </w:rPr>
    </w:lvl>
    <w:lvl w:ilvl="1">
      <w:start w:val="1"/>
      <w:numFmt w:val="lowerRoman"/>
      <w:lvlText w:val="%2."/>
      <w:lvlJc w:val="right"/>
      <w:pPr>
        <w:tabs>
          <w:tab w:val="num" w:pos="0"/>
        </w:tabs>
        <w:ind w:left="1495" w:hanging="360"/>
      </w:pPr>
      <w:rPr>
        <w:b w:val="0"/>
        <w:sz w:val="22"/>
        <w:szCs w:val="22"/>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8B0541"/>
    <w:rsid w:val="008865B6"/>
    <w:rsid w:val="008B0541"/>
    <w:rsid w:val="00E105E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eastAsia="Lucida Sans Unicode" w:hAnsi="Calibri"/>
      <w:sz w:val="22"/>
      <w:szCs w:val="22"/>
      <w:lang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DefaultParagraphFont">
    <w:name w:val="Default Paragraph Font"/>
  </w:style>
  <w:style w:type="character" w:customStyle="1" w:styleId="Char">
    <w:name w:val="Κεφαλίδα Char"/>
    <w:basedOn w:val="DefaultParagraphFont"/>
  </w:style>
  <w:style w:type="character" w:customStyle="1" w:styleId="Char0">
    <w:name w:val="Υποσέλιδο Char"/>
    <w:basedOn w:val="DefaultParagraphFont"/>
  </w:style>
  <w:style w:type="character" w:customStyle="1" w:styleId="Char1">
    <w:name w:val="Κείμενο πλαισίου Char"/>
    <w:basedOn w:val="DefaultParagraphFont"/>
    <w:rPr>
      <w:rFonts w:ascii="Tahoma" w:hAnsi="Tahoma" w:cs="Tahoma"/>
      <w:sz w:val="16"/>
      <w:szCs w:val="16"/>
    </w:rPr>
  </w:style>
  <w:style w:type="character" w:customStyle="1" w:styleId="ListLabel1">
    <w:name w:val="ListLabel 1"/>
    <w:rPr>
      <w:rFonts w:cs="Courier New"/>
    </w:rPr>
  </w:style>
  <w:style w:type="character" w:customStyle="1" w:styleId="ListLabel2">
    <w:name w:val="ListLabel 2"/>
    <w:rPr>
      <w:b w:val="0"/>
      <w:sz w:val="24"/>
      <w:szCs w:val="24"/>
    </w:rPr>
  </w:style>
  <w:style w:type="character" w:customStyle="1" w:styleId="ListLabel3">
    <w:name w:val="ListLabel 3"/>
    <w:rPr>
      <w:b w:val="0"/>
      <w:sz w:val="22"/>
      <w:szCs w:val="22"/>
    </w:rPr>
  </w:style>
  <w:style w:type="paragraph" w:customStyle="1" w:styleId="a3">
    <w:name w:val="Επικεφαλίδα"/>
    <w:basedOn w:val="a"/>
    <w:next w:val="a4"/>
    <w:pPr>
      <w:keepNext/>
      <w:spacing w:before="240" w:after="120"/>
    </w:pPr>
    <w:rPr>
      <w:rFonts w:ascii="Arial"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1">
    <w:name w:val="Λεζάντα1"/>
    <w:basedOn w:val="a"/>
    <w:pPr>
      <w:suppressLineNumbers/>
      <w:spacing w:before="120" w:after="120"/>
    </w:pPr>
    <w:rPr>
      <w:rFonts w:cs="Mangal"/>
      <w:i/>
      <w:iCs/>
      <w:sz w:val="24"/>
      <w:szCs w:val="24"/>
    </w:rPr>
  </w:style>
  <w:style w:type="paragraph" w:customStyle="1" w:styleId="a6">
    <w:name w:val="Ευρετήριο"/>
    <w:basedOn w:val="a"/>
    <w:pPr>
      <w:suppressLineNumbers/>
    </w:pPr>
    <w:rPr>
      <w:rFonts w:cs="Mangal"/>
    </w:rPr>
  </w:style>
  <w:style w:type="paragraph" w:customStyle="1" w:styleId="ListParagraph">
    <w:name w:val="List Paragraph"/>
    <w:basedOn w:val="a"/>
    <w:pPr>
      <w:ind w:left="720"/>
    </w:pPr>
  </w:style>
  <w:style w:type="paragraph" w:styleId="a7">
    <w:name w:val="header"/>
    <w:basedOn w:val="a"/>
    <w:pPr>
      <w:suppressLineNumbers/>
      <w:tabs>
        <w:tab w:val="center" w:pos="4153"/>
        <w:tab w:val="right" w:pos="8306"/>
      </w:tabs>
      <w:spacing w:after="0" w:line="100" w:lineRule="atLeast"/>
    </w:pPr>
  </w:style>
  <w:style w:type="paragraph" w:styleId="a8">
    <w:name w:val="footer"/>
    <w:basedOn w:val="a"/>
    <w:pPr>
      <w:suppressLineNumbers/>
      <w:tabs>
        <w:tab w:val="center" w:pos="4153"/>
        <w:tab w:val="right" w:pos="8306"/>
      </w:tabs>
      <w:spacing w:after="0" w:line="100" w:lineRule="atLeast"/>
    </w:pPr>
  </w:style>
  <w:style w:type="paragraph" w:customStyle="1" w:styleId="BalloonText">
    <w:name w:val="Balloon Text"/>
    <w:basedOn w:val="a"/>
    <w:pPr>
      <w:spacing w:after="0" w:line="100" w:lineRule="atLeas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5257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Ράμματα Χειρουργικά (από Μητρώο Προδιαγραφών ΕΚΕΒΥΛ)</vt:lpstr>
    </vt:vector>
  </TitlesOfParts>
  <Company/>
  <LinksUpToDate>false</LinksUpToDate>
  <CharactersWithSpaces>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Ράμματα Χειρουργικά (από Μητρώο Προδιαγραφών ΕΚΕΒΥΛ)</dc:title>
  <dc:creator>PROM3</dc:creator>
  <cp:lastModifiedBy>user-prom</cp:lastModifiedBy>
  <cp:revision>2</cp:revision>
  <cp:lastPrinted>2017-01-12T07:09:00Z</cp:lastPrinted>
  <dcterms:created xsi:type="dcterms:W3CDTF">2025-02-14T06:56:00Z</dcterms:created>
  <dcterms:modified xsi:type="dcterms:W3CDTF">2025-02-14T06:56:00Z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